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beforeAutospacing="1" w:afterAutospacing="1" w:line="480" w:lineRule="auto"/>
        <w:jc w:val="left"/>
        <w:rPr>
          <w:sz w:val="27"/>
          <w:szCs w:val="27"/>
        </w:rPr>
      </w:pPr>
      <w:bookmarkStart w:id="1" w:name="_GoBack"/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 </w:t>
      </w:r>
      <w:r>
        <w:rPr>
          <w:rFonts w:hint="eastAsia" w:ascii="微软雅黑" w:hAnsi="微软雅黑" w:eastAsia="微软雅黑" w:cs="微软雅黑"/>
          <w:kern w:val="0"/>
          <w:sz w:val="27"/>
          <w:szCs w:val="27"/>
          <w:lang w:bidi="ar"/>
        </w:rPr>
        <w:t xml:space="preserve"> 附件</w:t>
      </w:r>
      <w:r>
        <w:rPr>
          <w:rFonts w:hint="eastAsia" w:ascii="微软雅黑" w:hAnsi="微软雅黑" w:eastAsia="微软雅黑" w:cs="微软雅黑"/>
          <w:kern w:val="0"/>
          <w:sz w:val="27"/>
          <w:szCs w:val="27"/>
          <w:lang w:val="en-US" w:eastAsia="zh-CN" w:bidi="ar"/>
        </w:rPr>
        <w:t>2</w:t>
      </w:r>
      <w:r>
        <w:rPr>
          <w:rFonts w:hint="eastAsia" w:ascii="方正仿宋简体" w:hAnsi="方正仿宋简体" w:eastAsia="方正仿宋简体" w:cs="方正仿宋简体"/>
          <w:b/>
          <w:bCs/>
          <w:kern w:val="0"/>
          <w:sz w:val="32"/>
          <w:szCs w:val="32"/>
          <w:lang w:bidi="ar"/>
        </w:rPr>
        <w:t>：四川革命老区发展研究中心2024年度课题指南</w:t>
      </w:r>
      <w:bookmarkEnd w:id="1"/>
      <w:r>
        <w:rPr>
          <w:rFonts w:hint="eastAsia" w:ascii="微软雅黑" w:hAnsi="微软雅黑" w:eastAsia="微软雅黑" w:cs="微软雅黑"/>
          <w:kern w:val="0"/>
          <w:sz w:val="27"/>
          <w:szCs w:val="27"/>
          <w:lang w:bidi="ar"/>
        </w:rPr>
        <w:t xml:space="preserve"> 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b/>
          <w:bCs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b/>
          <w:bCs/>
          <w:kern w:val="0"/>
          <w:sz w:val="24"/>
          <w:lang w:bidi="ar"/>
        </w:rPr>
        <w:t>一、“四川革命老区发展研究”课题选题</w:t>
      </w:r>
    </w:p>
    <w:p>
      <w:pPr>
        <w:widowControl/>
        <w:wordWrap w:val="0"/>
        <w:spacing w:line="480" w:lineRule="auto"/>
        <w:ind w:firstLine="480"/>
        <w:jc w:val="left"/>
        <w:rPr>
          <w:sz w:val="27"/>
          <w:szCs w:val="27"/>
        </w:rPr>
      </w:pPr>
      <w:r>
        <w:rPr>
          <w:rFonts w:hint="eastAsia" w:ascii="方正仿宋简体" w:hAnsi="方正仿宋简体" w:eastAsia="方正仿宋简体" w:cs="方正仿宋简体"/>
          <w:b/>
          <w:bCs/>
          <w:kern w:val="0"/>
          <w:sz w:val="24"/>
          <w:lang w:bidi="ar"/>
        </w:rPr>
        <w:t>（一）专项重大招标项目</w:t>
      </w:r>
      <w:r>
        <w:rPr>
          <w:rFonts w:hint="eastAsia" w:ascii="微软雅黑" w:hAnsi="微软雅黑" w:eastAsia="微软雅黑" w:cs="微软雅黑"/>
          <w:kern w:val="0"/>
          <w:sz w:val="27"/>
          <w:szCs w:val="27"/>
          <w:lang w:bidi="ar"/>
        </w:rPr>
        <w:t xml:space="preserve"> </w:t>
      </w:r>
    </w:p>
    <w:p>
      <w:pPr>
        <w:widowControl/>
        <w:wordWrap w:val="0"/>
        <w:spacing w:line="480" w:lineRule="auto"/>
        <w:ind w:firstLine="1024" w:firstLineChars="427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川陕苏区红色歌谣研究</w:t>
      </w:r>
    </w:p>
    <w:p>
      <w:pPr>
        <w:widowControl/>
        <w:numPr>
          <w:ilvl w:val="0"/>
          <w:numId w:val="1"/>
        </w:numPr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b/>
          <w:bCs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b/>
          <w:bCs/>
          <w:kern w:val="0"/>
          <w:sz w:val="24"/>
          <w:lang w:bidi="ar"/>
        </w:rPr>
        <w:t>其他项目（包括重点项目、一般项目、自筹项目）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1.习近平总书记关于革命老区振兴发展的重要论述研究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2.以中国式现代化全面推进四川革命老区振兴发展的理论与实践研究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3.四川革命老区历史文献资料收集、整理与研究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bookmarkStart w:id="0" w:name="_Hlk153468942"/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4.</w:t>
      </w:r>
      <w:bookmarkEnd w:id="0"/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四川革命老区数字经济与实体经济融合发展路径研究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5.推动四川革命老区县域城乡融合发展理论与实践研究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6.四川革命老区现代化产业集群选择与培育机制研究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7.新时代四川革命老区乡村基层治理研究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8.乡村振兴视域下四川革命老区壮大农村集体经济的短板制约、模式创新与政策支持研究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9.四川革命老区医疗保障与医疗服务高质量协同发展研究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1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0.四川革命老区绿色经济、低碳经济与生态文明建设研究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1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1.四川革命老区特色农业高质量发展研究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1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2.四川革命老区特色农产品开发和利用研究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1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3.四川革命老区文旅助力乡村振兴系列案例资料收集整理及研究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1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4.川浙东西部扶贫协作项目助力四川革命老区振兴发展研究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1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5.高铁对川东北革命老区经济社会发展影响研究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1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6.“七一勋章”获得者周永开践行生态建设实践研究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1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7.四川革命老区助推“天府粮仓”打造实践研究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1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8.四川革命老区区域统筹协调发展研究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1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9.四川革命老区乡村搁荒耕地空间格局及分类利用研究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2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0.四川革命老区劳动力人口回乡创业就业政策支持体系研究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2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1.习近平总书记关于红色文化与革命精神系列重要论述研究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2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2.中国共产党人精神谱系融入学校思想政治理论课教学研究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2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3.</w:t>
      </w: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 xml:space="preserve"> 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四川革命老区红色人物资料整理与研究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2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4.</w:t>
      </w: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 xml:space="preserve"> 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四川革命老区红色文化资源的挖掘与应用研究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25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.四川革命老区文旅融合研究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26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.四川革命老区红色文化传承基地与爱国主义教育研究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27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.四川革命老区不可移动革命文物保护与开发应用研究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ascii="方正仿宋简体" w:hAnsi="方正仿宋简体" w:eastAsia="方正仿宋简体" w:cs="方正仿宋简体"/>
          <w:kern w:val="0"/>
          <w:sz w:val="24"/>
          <w:lang w:bidi="ar"/>
        </w:rPr>
        <w:t>28</w:t>
      </w: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.四川革命老区红色文化资源教育功能研究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</w:p>
    <w:p>
      <w:pPr>
        <w:widowControl/>
        <w:wordWrap w:val="0"/>
        <w:spacing w:line="480" w:lineRule="auto"/>
        <w:ind w:firstLine="480"/>
        <w:jc w:val="left"/>
        <w:rPr>
          <w:sz w:val="27"/>
          <w:szCs w:val="27"/>
        </w:rPr>
      </w:pPr>
      <w:r>
        <w:rPr>
          <w:rFonts w:hint="eastAsia" w:ascii="方正仿宋简体" w:hAnsi="方正仿宋简体" w:eastAsia="方正仿宋简体" w:cs="方正仿宋简体"/>
          <w:b/>
          <w:bCs/>
          <w:kern w:val="0"/>
          <w:sz w:val="24"/>
          <w:lang w:bidi="ar"/>
        </w:rPr>
        <w:t>二、“巴山作家群研究”课题选题 （包括重点项目、一般项目、自筹项目）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1.中国新文学进程中巴山作家群研究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2.中国新文学进程中“雪米莉”现象研究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3.中国文学版图中地方文学创作流派与巴山作家群比较研究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4.巴山作家群主要作家作品研究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 xml:space="preserve">5. 巴山作家群的影响与功能发挥研究 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 xml:space="preserve">6. 巴山作家群的内涵外延与发展历程研究 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 xml:space="preserve">7. 巴山作家群文学主张与创作风格研究 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 xml:space="preserve">8. 巴文化地理与巴山文学创作及作家成长之关系研究 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 xml:space="preserve">9. 巴山作家群品牌打造与传播研究 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 xml:space="preserve">10. 巴山作家群重点作家创作思想影像誌研究 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11. 巴山作家群诗歌散文视学化研究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  <w:r>
        <w:rPr>
          <w:rFonts w:hint="eastAsia" w:ascii="方正仿宋简体" w:hAnsi="方正仿宋简体" w:eastAsia="方正仿宋简体" w:cs="方正仿宋简体"/>
          <w:kern w:val="0"/>
          <w:sz w:val="24"/>
          <w:lang w:bidi="ar"/>
        </w:rPr>
        <w:t>12. 文学作品创作</w:t>
      </w:r>
    </w:p>
    <w:p>
      <w:pPr>
        <w:widowControl/>
        <w:wordWrap w:val="0"/>
        <w:spacing w:line="480" w:lineRule="auto"/>
        <w:ind w:firstLine="480"/>
        <w:jc w:val="left"/>
        <w:rPr>
          <w:rFonts w:ascii="方正仿宋简体" w:hAnsi="方正仿宋简体" w:eastAsia="方正仿宋简体" w:cs="方正仿宋简体"/>
          <w:kern w:val="0"/>
          <w:sz w:val="24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1" w:fontKey="{78FDDB24-9F42-4BE8-ABA4-F2DAFC70A555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2" w:fontKey="{83827823-B30C-4C7E-994D-72A41ACC0E41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6F48B0"/>
    <w:multiLevelType w:val="singleLevel"/>
    <w:tmpl w:val="B36F48B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YTljOWJiYTMyOTI4ZjRmMzM0YTFkM2ZhYzdmNGEifQ=="/>
  </w:docVars>
  <w:rsids>
    <w:rsidRoot w:val="7FAF62E9"/>
    <w:rsid w:val="00030BDF"/>
    <w:rsid w:val="00032D4A"/>
    <w:rsid w:val="00092509"/>
    <w:rsid w:val="0015477A"/>
    <w:rsid w:val="001B12F3"/>
    <w:rsid w:val="0020711F"/>
    <w:rsid w:val="002C652C"/>
    <w:rsid w:val="0030131A"/>
    <w:rsid w:val="003447EA"/>
    <w:rsid w:val="00357798"/>
    <w:rsid w:val="003D70DF"/>
    <w:rsid w:val="003E28B0"/>
    <w:rsid w:val="003E69DA"/>
    <w:rsid w:val="00460706"/>
    <w:rsid w:val="004C07F4"/>
    <w:rsid w:val="00544164"/>
    <w:rsid w:val="005C0A30"/>
    <w:rsid w:val="005E2A10"/>
    <w:rsid w:val="00620B4F"/>
    <w:rsid w:val="00695217"/>
    <w:rsid w:val="006A1FE7"/>
    <w:rsid w:val="006C3016"/>
    <w:rsid w:val="006D0723"/>
    <w:rsid w:val="006E3BC4"/>
    <w:rsid w:val="00740544"/>
    <w:rsid w:val="007816ED"/>
    <w:rsid w:val="0078265E"/>
    <w:rsid w:val="007C1738"/>
    <w:rsid w:val="008A2256"/>
    <w:rsid w:val="00944D57"/>
    <w:rsid w:val="009A77CF"/>
    <w:rsid w:val="009F5B5C"/>
    <w:rsid w:val="00A015FE"/>
    <w:rsid w:val="00B43D8E"/>
    <w:rsid w:val="00B55530"/>
    <w:rsid w:val="00B82BC5"/>
    <w:rsid w:val="00BC2C8E"/>
    <w:rsid w:val="00BC4733"/>
    <w:rsid w:val="00C13448"/>
    <w:rsid w:val="00C86B96"/>
    <w:rsid w:val="00E659C3"/>
    <w:rsid w:val="00EC3DBC"/>
    <w:rsid w:val="00F336DF"/>
    <w:rsid w:val="00FA2247"/>
    <w:rsid w:val="00FE2C4D"/>
    <w:rsid w:val="095A0176"/>
    <w:rsid w:val="0FAF6F22"/>
    <w:rsid w:val="13870D8F"/>
    <w:rsid w:val="14EF5D19"/>
    <w:rsid w:val="1B7C5FFF"/>
    <w:rsid w:val="1CC74E20"/>
    <w:rsid w:val="26C32E73"/>
    <w:rsid w:val="2700039E"/>
    <w:rsid w:val="27763E6F"/>
    <w:rsid w:val="2F0839D8"/>
    <w:rsid w:val="2FF81ACE"/>
    <w:rsid w:val="36486D79"/>
    <w:rsid w:val="41AE139D"/>
    <w:rsid w:val="439B78FF"/>
    <w:rsid w:val="44CB5E96"/>
    <w:rsid w:val="4BEF25DB"/>
    <w:rsid w:val="4C142485"/>
    <w:rsid w:val="4E2C6E69"/>
    <w:rsid w:val="4F6F2B17"/>
    <w:rsid w:val="55D6790C"/>
    <w:rsid w:val="59642AAD"/>
    <w:rsid w:val="5E2C0A11"/>
    <w:rsid w:val="62173786"/>
    <w:rsid w:val="62A8230C"/>
    <w:rsid w:val="64445090"/>
    <w:rsid w:val="68FE4AB4"/>
    <w:rsid w:val="6D4D6713"/>
    <w:rsid w:val="6EA42846"/>
    <w:rsid w:val="72396127"/>
    <w:rsid w:val="72E61148"/>
    <w:rsid w:val="77A30697"/>
    <w:rsid w:val="7D4074AB"/>
    <w:rsid w:val="7DB74FA7"/>
    <w:rsid w:val="7DE59640"/>
    <w:rsid w:val="7F771DD9"/>
    <w:rsid w:val="7FAF62E9"/>
    <w:rsid w:val="7FFB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styleId="8">
    <w:name w:val="FollowedHyperlink"/>
    <w:basedOn w:val="6"/>
    <w:autoRedefine/>
    <w:qFormat/>
    <w:uiPriority w:val="0"/>
    <w:rPr>
      <w:rFonts w:hint="eastAsia" w:ascii="微软雅黑" w:hAnsi="微软雅黑" w:eastAsia="微软雅黑" w:cs="微软雅黑"/>
      <w:color w:val="000000"/>
      <w:u w:val="none"/>
    </w:rPr>
  </w:style>
  <w:style w:type="character" w:styleId="9">
    <w:name w:val="Emphasis"/>
    <w:basedOn w:val="6"/>
    <w:autoRedefine/>
    <w:qFormat/>
    <w:uiPriority w:val="0"/>
  </w:style>
  <w:style w:type="character" w:styleId="10">
    <w:name w:val="Hyperlink"/>
    <w:basedOn w:val="6"/>
    <w:autoRedefine/>
    <w:qFormat/>
    <w:uiPriority w:val="0"/>
    <w:rPr>
      <w:rFonts w:ascii="微软雅黑" w:hAnsi="微软雅黑" w:eastAsia="微软雅黑" w:cs="微软雅黑"/>
      <w:color w:val="000000"/>
      <w:u w:val="none"/>
    </w:rPr>
  </w:style>
  <w:style w:type="character" w:customStyle="1" w:styleId="11">
    <w:name w:val="_3bwix"/>
    <w:basedOn w:val="6"/>
    <w:autoRedefine/>
    <w:qFormat/>
    <w:uiPriority w:val="0"/>
  </w:style>
  <w:style w:type="character" w:customStyle="1" w:styleId="12">
    <w:name w:val="hover4"/>
    <w:basedOn w:val="6"/>
    <w:autoRedefine/>
    <w:qFormat/>
    <w:uiPriority w:val="0"/>
    <w:rPr>
      <w:color w:val="315EFB"/>
    </w:rPr>
  </w:style>
  <w:style w:type="character" w:customStyle="1" w:styleId="13">
    <w:name w:val="hover3"/>
    <w:basedOn w:val="6"/>
    <w:autoRedefine/>
    <w:qFormat/>
    <w:uiPriority w:val="0"/>
    <w:rPr>
      <w:color w:val="315EFB"/>
    </w:rPr>
  </w:style>
  <w:style w:type="character" w:customStyle="1" w:styleId="14">
    <w:name w:val="页眉 Char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9</Pages>
  <Words>696</Words>
  <Characters>3968</Characters>
  <Lines>33</Lines>
  <Paragraphs>9</Paragraphs>
  <TotalTime>9</TotalTime>
  <ScaleCrop>false</ScaleCrop>
  <LinksUpToDate>false</LinksUpToDate>
  <CharactersWithSpaces>4655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2024-01-16T08:05:00Z</dcterms:created>
  <dc:creator>并非路过</dc:creator>
  <cp:lastModifiedBy>抹茶兔丁</cp:lastModifiedBy>
  <dcterms:modified xsi:type="dcterms:W3CDTF">2024-01-19T01:25:25Z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7563E1EFD9C24F7AA2456DFECC54A283_13</vt:lpwstr>
  </property>
</Properties>
</file>